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A43E" w14:textId="3E644DF0" w:rsidR="00BF5FD8" w:rsidRDefault="00C707E1">
      <w:pPr>
        <w:pStyle w:val="Titolo"/>
        <w:pageBreakBefore/>
        <w:numPr>
          <w:ilvl w:val="0"/>
          <w:numId w:val="1"/>
        </w:numPr>
        <w:rPr>
          <w:rFonts w:ascii="Titillium" w:eastAsia="Titillium" w:hAnsi="Titillium" w:cs="Titillium"/>
          <w:i w:val="0"/>
          <w:iCs/>
          <w:sz w:val="20"/>
          <w:szCs w:val="20"/>
        </w:rPr>
      </w:pPr>
      <w:r w:rsidRPr="007F426C">
        <w:rPr>
          <w:rFonts w:ascii="Titillium" w:eastAsia="Titillium" w:hAnsi="Titillium" w:cs="Titillium"/>
          <w:i w:val="0"/>
          <w:iCs/>
          <w:sz w:val="20"/>
          <w:szCs w:val="20"/>
        </w:rPr>
        <w:t xml:space="preserve">Scheda di sintesi sulla rilevazione </w:t>
      </w:r>
      <w:r w:rsidR="00114F39" w:rsidRPr="007F426C">
        <w:rPr>
          <w:rFonts w:ascii="Titillium" w:eastAsia="Titillium" w:hAnsi="Titillium" w:cs="Titillium"/>
          <w:i w:val="0"/>
          <w:iCs/>
          <w:sz w:val="20"/>
          <w:szCs w:val="20"/>
        </w:rPr>
        <w:t>del Nucleo di Valutazione</w:t>
      </w:r>
      <w:r w:rsidR="009931C1">
        <w:rPr>
          <w:rFonts w:ascii="Titillium" w:eastAsia="Titillium" w:hAnsi="Titillium" w:cs="Titillium"/>
          <w:i w:val="0"/>
          <w:iCs/>
          <w:sz w:val="20"/>
          <w:szCs w:val="20"/>
        </w:rPr>
        <w:t xml:space="preserve"> dei Comuni dell’Alto Appennino Reggiano</w:t>
      </w:r>
    </w:p>
    <w:p w14:paraId="7F4A7B22" w14:textId="00896981" w:rsidR="009931C1" w:rsidRPr="009931C1" w:rsidRDefault="009931C1" w:rsidP="009931C1">
      <w:pPr>
        <w:rPr>
          <w:rFonts w:eastAsia="Titillium"/>
        </w:rPr>
      </w:pPr>
      <w:r>
        <w:rPr>
          <w:rFonts w:eastAsia="Titillium"/>
        </w:rPr>
        <w:t xml:space="preserve">                                                </w:t>
      </w:r>
    </w:p>
    <w:p w14:paraId="452DAFE5" w14:textId="77777777" w:rsidR="00BF5FD8" w:rsidRDefault="00BF5FD8">
      <w:pPr>
        <w:pBdr>
          <w:top w:val="nil"/>
          <w:left w:val="nil"/>
          <w:bottom w:val="nil"/>
          <w:right w:val="nil"/>
          <w:between w:val="nil"/>
        </w:pBdr>
        <w:rPr>
          <w:rFonts w:ascii="Titillium" w:eastAsia="Titillium" w:hAnsi="Titillium" w:cs="Titillium"/>
          <w:color w:val="000000"/>
          <w:sz w:val="20"/>
          <w:szCs w:val="20"/>
        </w:rPr>
      </w:pPr>
    </w:p>
    <w:p w14:paraId="04C1C813" w14:textId="6ED2C95A" w:rsidR="00BF5FD8" w:rsidRDefault="00C707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tillium" w:eastAsia="Titillium" w:hAnsi="Titillium" w:cs="Titillium"/>
          <w:b/>
          <w:i/>
          <w:color w:val="000000"/>
          <w:sz w:val="20"/>
          <w:szCs w:val="20"/>
        </w:rPr>
      </w:pPr>
      <w:r>
        <w:rPr>
          <w:rFonts w:ascii="Titillium" w:eastAsia="Titillium" w:hAnsi="Titillium" w:cs="Titillium"/>
          <w:b/>
          <w:i/>
          <w:color w:val="000000"/>
          <w:sz w:val="20"/>
          <w:szCs w:val="20"/>
        </w:rPr>
        <w:t>Data di svolgimento della rilevazione</w:t>
      </w:r>
      <w:r w:rsidR="00114F39">
        <w:rPr>
          <w:rFonts w:ascii="Titillium" w:eastAsia="Titillium" w:hAnsi="Titillium" w:cs="Titillium"/>
          <w:b/>
          <w:i/>
          <w:color w:val="000000"/>
          <w:sz w:val="20"/>
          <w:szCs w:val="20"/>
        </w:rPr>
        <w:t>: 31 maggio 2022</w:t>
      </w:r>
    </w:p>
    <w:p w14:paraId="19253940" w14:textId="20FA4C85" w:rsidR="00BF5FD8" w:rsidRDefault="00C707E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Indicare la data di svolgimento della rilevazione nel formato </w:t>
      </w:r>
      <w:r w:rsidR="00114F39">
        <w:rPr>
          <w:rFonts w:ascii="Titillium" w:eastAsia="Titillium" w:hAnsi="Titillium" w:cs="Titillium"/>
          <w:color w:val="000000"/>
          <w:sz w:val="20"/>
          <w:szCs w:val="20"/>
        </w:rPr>
        <w:t>31/05/2022</w:t>
      </w:r>
      <w:r>
        <w:rPr>
          <w:rFonts w:ascii="Titillium" w:eastAsia="Titillium" w:hAnsi="Titillium" w:cs="Titillium"/>
          <w:color w:val="000000"/>
          <w:sz w:val="20"/>
          <w:szCs w:val="20"/>
        </w:rPr>
        <w:t>.</w:t>
      </w:r>
    </w:p>
    <w:p w14:paraId="44121681" w14:textId="5CB8DA48" w:rsidR="00BF5FD8" w:rsidRDefault="00C707E1">
      <w:pPr>
        <w:pBdr>
          <w:top w:val="nil"/>
          <w:left w:val="nil"/>
          <w:bottom w:val="nil"/>
          <w:right w:val="nil"/>
          <w:between w:val="nil"/>
        </w:pBdr>
        <w:rPr>
          <w:rFonts w:ascii="Titillium" w:eastAsia="Titillium" w:hAnsi="Titillium" w:cs="Titillium"/>
          <w:color w:val="000000"/>
          <w:sz w:val="20"/>
          <w:szCs w:val="20"/>
          <w:u w:val="single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Indicare la </w:t>
      </w:r>
      <w:r>
        <w:rPr>
          <w:rFonts w:ascii="Titillium" w:eastAsia="Titillium" w:hAnsi="Titillium" w:cs="Titillium"/>
          <w:color w:val="000000"/>
          <w:sz w:val="20"/>
          <w:szCs w:val="20"/>
          <w:u w:val="single"/>
        </w:rPr>
        <w:t>data di inizio e di fine</w:t>
      </w:r>
      <w:r>
        <w:rPr>
          <w:rFonts w:ascii="Titillium" w:eastAsia="Titillium" w:hAnsi="Titillium" w:cs="Titillium"/>
          <w:color w:val="000000"/>
          <w:sz w:val="20"/>
          <w:szCs w:val="20"/>
        </w:rPr>
        <w:t xml:space="preserve"> della rilevazione</w:t>
      </w:r>
      <w:r w:rsidR="00114F39">
        <w:rPr>
          <w:rFonts w:ascii="Titillium" w:eastAsia="Titillium" w:hAnsi="Titillium" w:cs="Titillium"/>
          <w:color w:val="000000"/>
          <w:sz w:val="20"/>
          <w:szCs w:val="20"/>
        </w:rPr>
        <w:t>: dal 15/05/2022 al 31/05/2022</w:t>
      </w:r>
    </w:p>
    <w:p w14:paraId="04F62CEE" w14:textId="77777777" w:rsidR="00BF5FD8" w:rsidRDefault="00BF5FD8">
      <w:pPr>
        <w:pBdr>
          <w:top w:val="nil"/>
          <w:left w:val="nil"/>
          <w:bottom w:val="nil"/>
          <w:right w:val="nil"/>
          <w:between w:val="nil"/>
        </w:pBdr>
        <w:rPr>
          <w:rFonts w:ascii="Titillium" w:eastAsia="Titillium" w:hAnsi="Titillium" w:cs="Titillium"/>
          <w:color w:val="000000"/>
          <w:sz w:val="20"/>
          <w:szCs w:val="20"/>
        </w:rPr>
      </w:pPr>
    </w:p>
    <w:p w14:paraId="491C6AF1" w14:textId="77777777" w:rsidR="00BF5FD8" w:rsidRDefault="00C707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tillium" w:eastAsia="Titillium" w:hAnsi="Titillium" w:cs="Titillium"/>
          <w:b/>
          <w:i/>
          <w:color w:val="000000"/>
          <w:sz w:val="20"/>
          <w:szCs w:val="20"/>
        </w:rPr>
      </w:pPr>
      <w:r>
        <w:rPr>
          <w:rFonts w:ascii="Titillium" w:eastAsia="Titillium" w:hAnsi="Titillium" w:cs="Titillium"/>
          <w:b/>
          <w:i/>
          <w:color w:val="000000"/>
          <w:sz w:val="20"/>
          <w:szCs w:val="20"/>
        </w:rPr>
        <w:t xml:space="preserve">Procedure e modalità seguite per la rilevazione </w:t>
      </w:r>
    </w:p>
    <w:p w14:paraId="17CA5F27" w14:textId="1BB6CBD3" w:rsidR="00114F39" w:rsidRDefault="00114F39" w:rsidP="00114F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tillium" w:eastAsia="Titillium" w:hAnsi="Titillium" w:cs="Titillium"/>
          <w:color w:val="000000"/>
          <w:sz w:val="20"/>
          <w:szCs w:val="2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Il procedimento e le modalità utilizzate per la rilevazione è il seguente:</w:t>
      </w:r>
    </w:p>
    <w:p w14:paraId="3E8487AF" w14:textId="60A5A6EE" w:rsidR="00BF5FD8" w:rsidRPr="00114F39" w:rsidRDefault="00C707E1" w:rsidP="00114F39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 w:rsidRPr="00114F39">
        <w:rPr>
          <w:rFonts w:ascii="Titillium" w:eastAsia="Titillium" w:hAnsi="Titillium" w:cs="Titillium"/>
          <w:color w:val="000000"/>
          <w:sz w:val="20"/>
          <w:szCs w:val="20"/>
        </w:rPr>
        <w:t>verifica dell’attività svolta dal Responsabile della prevenzione della corruzione e della trasparenza per riscontrare l’adempimento degli obblighi di pubblicazione</w:t>
      </w:r>
      <w:r w:rsidR="00114F39">
        <w:rPr>
          <w:rFonts w:ascii="Titillium" w:eastAsia="Titillium" w:hAnsi="Titillium" w:cs="Titillium"/>
          <w:color w:val="000000"/>
          <w:sz w:val="20"/>
          <w:szCs w:val="20"/>
        </w:rPr>
        <w:t>, nelle singole sezioni dedicate</w:t>
      </w:r>
      <w:r w:rsidRPr="00114F39">
        <w:rPr>
          <w:rFonts w:ascii="Titillium" w:eastAsia="Titillium" w:hAnsi="Titillium" w:cs="Titillium"/>
          <w:color w:val="000000"/>
          <w:sz w:val="20"/>
          <w:szCs w:val="20"/>
        </w:rPr>
        <w:t>;</w:t>
      </w:r>
    </w:p>
    <w:p w14:paraId="7D561951" w14:textId="77777777" w:rsidR="00BF5FD8" w:rsidRDefault="00C707E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color w:val="00000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esame della documentazione e delle banche dati relative ai dati oggetto di attestazione;</w:t>
      </w:r>
    </w:p>
    <w:p w14:paraId="6B1622F9" w14:textId="2F846E99" w:rsidR="00BF5FD8" w:rsidRDefault="00C707E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color w:val="00000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co</w:t>
      </w:r>
      <w:r w:rsidR="00114F39">
        <w:rPr>
          <w:rFonts w:ascii="Titillium" w:eastAsia="Titillium" w:hAnsi="Titillium" w:cs="Titillium"/>
          <w:color w:val="000000"/>
          <w:sz w:val="20"/>
          <w:szCs w:val="20"/>
        </w:rPr>
        <w:t>nfronto diretto con il Segretario Generale</w:t>
      </w:r>
      <w:r>
        <w:rPr>
          <w:rFonts w:ascii="Titillium" w:eastAsia="Titillium" w:hAnsi="Titillium" w:cs="Titillium"/>
          <w:color w:val="000000"/>
          <w:sz w:val="20"/>
          <w:szCs w:val="20"/>
        </w:rPr>
        <w:t>;</w:t>
      </w:r>
    </w:p>
    <w:p w14:paraId="4B488FAF" w14:textId="0935A106" w:rsidR="00BF5FD8" w:rsidRDefault="00114F3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color w:val="00000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ricezione di attività di analisi anche da parte dei collaboratori dell’ente</w:t>
      </w:r>
      <w:r w:rsidR="00C707E1">
        <w:rPr>
          <w:rFonts w:ascii="Titillium" w:eastAsia="Titillium" w:hAnsi="Titillium" w:cs="Titillium"/>
          <w:color w:val="000000"/>
          <w:sz w:val="20"/>
          <w:szCs w:val="20"/>
        </w:rPr>
        <w:t>;</w:t>
      </w:r>
    </w:p>
    <w:p w14:paraId="39BD15B3" w14:textId="77777777" w:rsidR="00BF5FD8" w:rsidRDefault="00C707E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color w:val="000000"/>
        </w:rPr>
      </w:pPr>
      <w:r>
        <w:rPr>
          <w:rFonts w:ascii="Titillium" w:eastAsia="Titillium" w:hAnsi="Titillium" w:cs="Titillium"/>
          <w:color w:val="000000"/>
          <w:sz w:val="20"/>
          <w:szCs w:val="20"/>
        </w:rPr>
        <w:t>verifica diretta sul sito istituzionale, anche attraverso l’utilizzo di supporti informatici.</w:t>
      </w:r>
    </w:p>
    <w:p w14:paraId="25F647CD" w14:textId="77777777" w:rsidR="00BF5FD8" w:rsidRDefault="00BF5FD8">
      <w:pPr>
        <w:spacing w:line="360" w:lineRule="auto"/>
        <w:rPr>
          <w:rFonts w:ascii="Titillium" w:eastAsia="Titillium" w:hAnsi="Titillium" w:cs="Titillium"/>
          <w:sz w:val="20"/>
          <w:szCs w:val="20"/>
          <w:u w:val="single"/>
        </w:rPr>
      </w:pPr>
    </w:p>
    <w:p w14:paraId="0BA6D084" w14:textId="115734E8" w:rsidR="00BF5FD8" w:rsidRDefault="00C707E1">
      <w:pPr>
        <w:spacing w:line="360" w:lineRule="auto"/>
        <w:rPr>
          <w:rFonts w:ascii="Titillium" w:eastAsia="Titillium" w:hAnsi="Titillium" w:cs="Titillium"/>
          <w:b/>
          <w:sz w:val="20"/>
          <w:szCs w:val="20"/>
          <w:u w:val="single"/>
        </w:rPr>
      </w:pPr>
      <w:r>
        <w:rPr>
          <w:rFonts w:ascii="Titillium" w:eastAsia="Titillium" w:hAnsi="Titillium" w:cs="Titillium"/>
          <w:b/>
          <w:i/>
          <w:sz w:val="20"/>
          <w:szCs w:val="20"/>
        </w:rPr>
        <w:t>Aspetti critici riscontrati nel corso della rilevazione</w:t>
      </w:r>
      <w:r w:rsidR="00114F39">
        <w:rPr>
          <w:rFonts w:ascii="Titillium" w:eastAsia="Titillium" w:hAnsi="Titillium" w:cs="Titillium"/>
          <w:b/>
          <w:i/>
          <w:sz w:val="20"/>
          <w:szCs w:val="20"/>
        </w:rPr>
        <w:t>: //</w:t>
      </w:r>
    </w:p>
    <w:p w14:paraId="199A0E0E" w14:textId="6D90ECD7" w:rsidR="00BF5FD8" w:rsidRDefault="00C707E1">
      <w:pPr>
        <w:spacing w:line="360" w:lineRule="auto"/>
        <w:rPr>
          <w:rFonts w:ascii="Titillium" w:eastAsia="Titillium" w:hAnsi="Titillium" w:cs="Titillium"/>
          <w:b/>
          <w:i/>
          <w:sz w:val="20"/>
          <w:szCs w:val="20"/>
        </w:rPr>
      </w:pPr>
      <w:r>
        <w:rPr>
          <w:rFonts w:ascii="Titillium" w:eastAsia="Titillium" w:hAnsi="Titillium" w:cs="Titillium"/>
          <w:b/>
          <w:i/>
          <w:sz w:val="20"/>
          <w:szCs w:val="20"/>
        </w:rPr>
        <w:t>Eventuale documentazione da allegare</w:t>
      </w:r>
      <w:r w:rsidR="00114F39">
        <w:rPr>
          <w:rFonts w:ascii="Titillium" w:eastAsia="Titillium" w:hAnsi="Titillium" w:cs="Titillium"/>
          <w:b/>
          <w:i/>
          <w:sz w:val="20"/>
          <w:szCs w:val="20"/>
        </w:rPr>
        <w:t>: //</w:t>
      </w:r>
    </w:p>
    <w:p w14:paraId="6BDAD3DD" w14:textId="062586AE" w:rsidR="00114F39" w:rsidRDefault="00114F39">
      <w:pPr>
        <w:spacing w:line="360" w:lineRule="auto"/>
        <w:rPr>
          <w:rFonts w:ascii="Titillium" w:eastAsia="Titillium" w:hAnsi="Titillium" w:cs="Titillium"/>
          <w:bCs/>
          <w:iCs/>
          <w:sz w:val="20"/>
          <w:szCs w:val="20"/>
        </w:rPr>
      </w:pPr>
      <w:r>
        <w:rPr>
          <w:rFonts w:ascii="Titillium" w:eastAsia="Titillium" w:hAnsi="Titillium" w:cs="Titillium"/>
          <w:bCs/>
          <w:iCs/>
          <w:sz w:val="20"/>
          <w:szCs w:val="20"/>
        </w:rPr>
        <w:t>2</w:t>
      </w:r>
      <w:r w:rsidR="007F426C">
        <w:rPr>
          <w:rFonts w:ascii="Titillium" w:eastAsia="Titillium" w:hAnsi="Titillium" w:cs="Titillium"/>
          <w:bCs/>
          <w:iCs/>
          <w:sz w:val="20"/>
          <w:szCs w:val="20"/>
        </w:rPr>
        <w:t>7</w:t>
      </w:r>
      <w:r>
        <w:rPr>
          <w:rFonts w:ascii="Titillium" w:eastAsia="Titillium" w:hAnsi="Titillium" w:cs="Titillium"/>
          <w:bCs/>
          <w:iCs/>
          <w:sz w:val="20"/>
          <w:szCs w:val="20"/>
        </w:rPr>
        <w:t xml:space="preserve"> </w:t>
      </w:r>
      <w:proofErr w:type="gramStart"/>
      <w:r>
        <w:rPr>
          <w:rFonts w:ascii="Titillium" w:eastAsia="Titillium" w:hAnsi="Titillium" w:cs="Titillium"/>
          <w:bCs/>
          <w:iCs/>
          <w:sz w:val="20"/>
          <w:szCs w:val="20"/>
        </w:rPr>
        <w:t>Giugno</w:t>
      </w:r>
      <w:proofErr w:type="gramEnd"/>
      <w:r>
        <w:rPr>
          <w:rFonts w:ascii="Titillium" w:eastAsia="Titillium" w:hAnsi="Titillium" w:cs="Titillium"/>
          <w:bCs/>
          <w:iCs/>
          <w:sz w:val="20"/>
          <w:szCs w:val="20"/>
        </w:rPr>
        <w:t xml:space="preserve"> 2022</w:t>
      </w:r>
    </w:p>
    <w:p w14:paraId="295963F7" w14:textId="61FB7D23" w:rsidR="00114F39" w:rsidRDefault="00114F39">
      <w:pPr>
        <w:spacing w:line="360" w:lineRule="auto"/>
        <w:rPr>
          <w:rFonts w:ascii="Titillium" w:eastAsia="Titillium" w:hAnsi="Titillium" w:cs="Titillium"/>
          <w:bCs/>
          <w:iCs/>
          <w:sz w:val="20"/>
          <w:szCs w:val="20"/>
        </w:rPr>
      </w:pPr>
      <w:r>
        <w:rPr>
          <w:rFonts w:ascii="Titillium" w:eastAsia="Titillium" w:hAnsi="Titillium" w:cs="Titillium"/>
          <w:bCs/>
          <w:iCs/>
          <w:sz w:val="20"/>
          <w:szCs w:val="20"/>
        </w:rPr>
        <w:t>Il Nucleo di Valutazione</w:t>
      </w:r>
    </w:p>
    <w:p w14:paraId="07FCA453" w14:textId="77F32077" w:rsidR="00114F39" w:rsidRDefault="00114F39">
      <w:pPr>
        <w:spacing w:line="360" w:lineRule="auto"/>
        <w:rPr>
          <w:rFonts w:ascii="Titillium" w:eastAsia="Titillium" w:hAnsi="Titillium" w:cs="Titillium"/>
          <w:bCs/>
          <w:iCs/>
          <w:sz w:val="20"/>
          <w:szCs w:val="20"/>
        </w:rPr>
      </w:pPr>
      <w:r>
        <w:rPr>
          <w:rFonts w:ascii="Titillium" w:eastAsia="Titillium" w:hAnsi="Titillium" w:cs="Titillium"/>
          <w:bCs/>
          <w:iCs/>
          <w:sz w:val="20"/>
          <w:szCs w:val="20"/>
        </w:rPr>
        <w:t>LETIZIA RISTAURI</w:t>
      </w:r>
    </w:p>
    <w:p w14:paraId="45316E3D" w14:textId="5A80173A" w:rsidR="00114F39" w:rsidRPr="00114F39" w:rsidRDefault="00114F39">
      <w:pPr>
        <w:spacing w:line="360" w:lineRule="auto"/>
        <w:rPr>
          <w:rFonts w:ascii="Titillium" w:eastAsia="Titillium" w:hAnsi="Titillium" w:cs="Titillium"/>
          <w:bCs/>
          <w:iCs/>
          <w:sz w:val="20"/>
          <w:szCs w:val="20"/>
        </w:rPr>
      </w:pPr>
      <w:r>
        <w:rPr>
          <w:rFonts w:ascii="Titillium" w:eastAsia="Titillium" w:hAnsi="Titillium" w:cs="Titillium"/>
          <w:bCs/>
          <w:iCs/>
          <w:sz w:val="20"/>
          <w:szCs w:val="20"/>
        </w:rPr>
        <w:t>(documento firmato digitalmente)</w:t>
      </w:r>
    </w:p>
    <w:sectPr w:rsidR="00114F39" w:rsidRPr="00114F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F98A2" w14:textId="77777777" w:rsidR="009B21E2" w:rsidRDefault="009B21E2">
      <w:pPr>
        <w:spacing w:after="0" w:line="240" w:lineRule="auto"/>
      </w:pPr>
      <w:r>
        <w:separator/>
      </w:r>
    </w:p>
  </w:endnote>
  <w:endnote w:type="continuationSeparator" w:id="0">
    <w:p w14:paraId="1037341E" w14:textId="77777777" w:rsidR="009B21E2" w:rsidRDefault="009B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593D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DDB6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6E95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5DED6" w14:textId="77777777" w:rsidR="009B21E2" w:rsidRDefault="009B21E2">
      <w:pPr>
        <w:spacing w:after="0" w:line="240" w:lineRule="auto"/>
      </w:pPr>
      <w:r>
        <w:separator/>
      </w:r>
    </w:p>
  </w:footnote>
  <w:footnote w:type="continuationSeparator" w:id="0">
    <w:p w14:paraId="05A9690C" w14:textId="77777777" w:rsidR="009B21E2" w:rsidRDefault="009B2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C70EE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4F47" w14:textId="77777777" w:rsidR="00BF5FD8" w:rsidRDefault="00C707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rFonts w:ascii="Garamond" w:eastAsia="Garamond" w:hAnsi="Garamond" w:cs="Garamond"/>
        <w:b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8771B87" wp14:editId="6C67E42E">
          <wp:simplePos x="0" y="0"/>
          <wp:positionH relativeFrom="margin">
            <wp:posOffset>-271779</wp:posOffset>
          </wp:positionH>
          <wp:positionV relativeFrom="topMargin">
            <wp:posOffset>453390</wp:posOffset>
          </wp:positionV>
          <wp:extent cx="2879725" cy="34163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79725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692970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rFonts w:ascii="Garamond" w:eastAsia="Garamond" w:hAnsi="Garamond" w:cs="Garamond"/>
        <w:b/>
        <w:color w:val="000000"/>
      </w:rPr>
    </w:pPr>
  </w:p>
  <w:p w14:paraId="286794F1" w14:textId="77777777" w:rsidR="00BF5FD8" w:rsidRDefault="00C707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3878"/>
      </w:tabs>
      <w:spacing w:after="0"/>
      <w:rPr>
        <w:rFonts w:ascii="Garamond" w:eastAsia="Garamond" w:hAnsi="Garamond" w:cs="Garamond"/>
        <w:b/>
        <w:color w:val="000000"/>
      </w:rPr>
    </w:pPr>
    <w:r>
      <w:rPr>
        <w:rFonts w:ascii="Garamond" w:eastAsia="Garamond" w:hAnsi="Garamond" w:cs="Garamond"/>
        <w:b/>
        <w:color w:val="000000"/>
      </w:rPr>
      <w:tab/>
    </w:r>
    <w:r>
      <w:rPr>
        <w:rFonts w:ascii="Garamond" w:eastAsia="Garamond" w:hAnsi="Garamond" w:cs="Garamond"/>
        <w:b/>
        <w:color w:val="000000"/>
      </w:rPr>
      <w:tab/>
    </w:r>
  </w:p>
  <w:p w14:paraId="28C9A091" w14:textId="77777777" w:rsidR="00BF5FD8" w:rsidRDefault="00C707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rFonts w:ascii="Titillium" w:eastAsia="Titillium" w:hAnsi="Titillium" w:cs="Titillium"/>
        <w:b/>
        <w:color w:val="000000"/>
        <w:sz w:val="20"/>
        <w:szCs w:val="20"/>
      </w:rPr>
    </w:pPr>
    <w:bookmarkStart w:id="0" w:name="_gjdgxs" w:colFirst="0" w:colLast="0"/>
    <w:bookmarkEnd w:id="0"/>
    <w:r>
      <w:rPr>
        <w:rFonts w:ascii="Titillium" w:eastAsia="Titillium" w:hAnsi="Titillium" w:cs="Titillium"/>
        <w:b/>
        <w:color w:val="000000"/>
        <w:sz w:val="20"/>
        <w:szCs w:val="20"/>
      </w:rPr>
      <w:t>Allegato 3 alla delibera ANAC n. 201/2022</w:t>
    </w:r>
  </w:p>
  <w:p w14:paraId="5A21AB4C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rFonts w:ascii="Garamond" w:eastAsia="Garamond" w:hAnsi="Garamond" w:cs="Garamond"/>
        <w:b/>
        <w:color w:val="000000"/>
      </w:rPr>
    </w:pPr>
  </w:p>
  <w:p w14:paraId="58B56D88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rFonts w:ascii="Garamond" w:eastAsia="Garamond" w:hAnsi="Garamond" w:cs="Garamond"/>
        <w:b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0A2D7" w14:textId="77777777" w:rsidR="00BF5FD8" w:rsidRDefault="00BF5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6664D"/>
    <w:multiLevelType w:val="multilevel"/>
    <w:tmpl w:val="D84A3AC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ADA0BFA"/>
    <w:multiLevelType w:val="multilevel"/>
    <w:tmpl w:val="5BF8D0A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5223801">
    <w:abstractNumId w:val="0"/>
  </w:num>
  <w:num w:numId="2" w16cid:durableId="146500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D8"/>
    <w:rsid w:val="00114F39"/>
    <w:rsid w:val="007F426C"/>
    <w:rsid w:val="009931C1"/>
    <w:rsid w:val="009B21E2"/>
    <w:rsid w:val="00BF5FD8"/>
    <w:rsid w:val="00C707E1"/>
    <w:rsid w:val="00DF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FB08"/>
  <w15:docId w15:val="{EFA94AA2-CA61-4CCB-B9D1-BD70B53A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keepNext/>
        <w:widowControl w:val="0"/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240" w:after="240"/>
      <w:ind w:left="432" w:hanging="432"/>
      <w:jc w:val="center"/>
    </w:pPr>
    <w:rPr>
      <w:b/>
      <w:i/>
      <w:sz w:val="36"/>
      <w:szCs w:val="36"/>
    </w:rPr>
  </w:style>
  <w:style w:type="paragraph" w:styleId="Sottotitolo">
    <w:name w:val="Subtitle"/>
    <w:basedOn w:val="Normale"/>
    <w:next w:val="Normale"/>
    <w:uiPriority w:val="11"/>
    <w:qFormat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114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mela</dc:creator>
  <cp:lastModifiedBy>luciano mela</cp:lastModifiedBy>
  <cp:revision>2</cp:revision>
  <cp:lastPrinted>2022-06-27T07:14:00Z</cp:lastPrinted>
  <dcterms:created xsi:type="dcterms:W3CDTF">2022-06-27T07:39:00Z</dcterms:created>
  <dcterms:modified xsi:type="dcterms:W3CDTF">2022-06-27T07:39:00Z</dcterms:modified>
</cp:coreProperties>
</file>